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24" w:rsidRDefault="004E2324" w:rsidP="004E23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E2324" w:rsidRDefault="004E2324" w:rsidP="004E232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5AC4" w:rsidRDefault="004E2324" w:rsidP="004E2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идентифицированных российской стороной барьеров в двусторонней торговле с Китайской Народной Республикой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12"/>
        <w:gridCol w:w="4884"/>
        <w:gridCol w:w="2912"/>
        <w:gridCol w:w="2912"/>
      </w:tblGrid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12" w:type="dxa"/>
          </w:tcPr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Барьер</w:t>
            </w:r>
          </w:p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(конкретная</w:t>
            </w:r>
          </w:p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ситуация/системная</w:t>
            </w:r>
          </w:p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проблема)</w:t>
            </w:r>
          </w:p>
        </w:tc>
        <w:tc>
          <w:tcPr>
            <w:tcW w:w="4884" w:type="dxa"/>
          </w:tcPr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барьера</w:t>
            </w:r>
          </w:p>
          <w:p w:rsidR="004E2324" w:rsidRPr="004E2324" w:rsidRDefault="004E2324" w:rsidP="004E23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(с указанием документов/решений,</w:t>
            </w: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i/>
                <w:sz w:val="28"/>
                <w:szCs w:val="28"/>
              </w:rPr>
              <w:t>пострадавших компаний и контактных лиц)</w:t>
            </w: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по снятию барьера</w:t>
            </w: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ведомства Российской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E232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 и КНР</w:t>
            </w: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324" w:rsidTr="004E2324">
        <w:tc>
          <w:tcPr>
            <w:tcW w:w="846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E2324" w:rsidRDefault="004E2324" w:rsidP="004E2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2324" w:rsidRPr="004E2324" w:rsidRDefault="004E2324" w:rsidP="004E2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2324" w:rsidRPr="004E2324" w:rsidSect="004E2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9"/>
    <w:rsid w:val="00055AC4"/>
    <w:rsid w:val="004E2324"/>
    <w:rsid w:val="00E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2057A-A7C3-4135-8FE9-63FDA95A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2</cp:revision>
  <dcterms:created xsi:type="dcterms:W3CDTF">2023-04-13T10:01:00Z</dcterms:created>
  <dcterms:modified xsi:type="dcterms:W3CDTF">2023-04-13T10:07:00Z</dcterms:modified>
</cp:coreProperties>
</file>